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2F689A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F689A">
        <w:rPr>
          <w:rFonts w:ascii="Arial" w:hAnsi="Arial" w:cs="Arial"/>
          <w:sz w:val="20"/>
          <w:szCs w:val="20"/>
        </w:rPr>
        <w:t>29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F689A" w:rsidRPr="002F689A">
        <w:rPr>
          <w:rFonts w:ascii="Arial" w:hAnsi="Arial" w:cs="Arial"/>
          <w:sz w:val="20"/>
          <w:szCs w:val="20"/>
        </w:rPr>
        <w:t xml:space="preserve">Fico Corporation </w:t>
      </w:r>
      <w:r w:rsidR="002F689A">
        <w:rPr>
          <w:rFonts w:ascii="Arial" w:hAnsi="Arial" w:cs="Arial"/>
          <w:sz w:val="20"/>
          <w:szCs w:val="20"/>
        </w:rPr>
        <w:t>–</w:t>
      </w:r>
      <w:r w:rsidR="002F689A" w:rsidRPr="002F689A">
        <w:rPr>
          <w:rFonts w:ascii="Arial" w:hAnsi="Arial" w:cs="Arial"/>
          <w:sz w:val="20"/>
          <w:szCs w:val="20"/>
        </w:rPr>
        <w:t xml:space="preserve"> JSC</w:t>
      </w:r>
      <w:r w:rsidR="002F689A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F689A" w:rsidRDefault="002F689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689A">
        <w:rPr>
          <w:rFonts w:ascii="Arial" w:hAnsi="Arial" w:cs="Arial"/>
          <w:sz w:val="20"/>
          <w:szCs w:val="20"/>
        </w:rPr>
        <w:t>Article 1: Approve the content of the report of the Board of Directors i</w:t>
      </w:r>
      <w:r>
        <w:rPr>
          <w:rFonts w:ascii="Arial" w:hAnsi="Arial" w:cs="Arial"/>
          <w:sz w:val="20"/>
          <w:szCs w:val="20"/>
        </w:rPr>
        <w:t>n 2019 and the operation plan for 2020</w:t>
      </w:r>
    </w:p>
    <w:p w:rsidR="002F689A" w:rsidRDefault="002F689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689A">
        <w:rPr>
          <w:rFonts w:ascii="Arial" w:hAnsi="Arial" w:cs="Arial"/>
          <w:sz w:val="20"/>
          <w:szCs w:val="20"/>
        </w:rPr>
        <w:t>Article 2: Approve the content of the Board of Directors' report on the results of production and business activities in 2019, the plan of product</w:t>
      </w:r>
      <w:r>
        <w:rPr>
          <w:rFonts w:ascii="Arial" w:hAnsi="Arial" w:cs="Arial"/>
          <w:sz w:val="20"/>
          <w:szCs w:val="20"/>
        </w:rPr>
        <w:t>ion and business activities for 2020, in</w:t>
      </w:r>
      <w:r w:rsidRPr="002F689A">
        <w:rPr>
          <w:rFonts w:ascii="Arial" w:hAnsi="Arial" w:cs="Arial"/>
          <w:sz w:val="20"/>
          <w:szCs w:val="20"/>
        </w:rPr>
        <w:t xml:space="preserve"> which: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3412"/>
        <w:gridCol w:w="1901"/>
        <w:gridCol w:w="1891"/>
        <w:gridCol w:w="1900"/>
      </w:tblGrid>
      <w:tr w:rsidR="002F689A" w:rsidTr="002F689A">
        <w:tc>
          <w:tcPr>
            <w:tcW w:w="472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12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901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891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900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compared to 2019</w:t>
            </w:r>
          </w:p>
        </w:tc>
      </w:tr>
      <w:tr w:rsidR="002F689A" w:rsidTr="002F689A">
        <w:tc>
          <w:tcPr>
            <w:tcW w:w="472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412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901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89A" w:rsidTr="002F689A">
        <w:tc>
          <w:tcPr>
            <w:tcW w:w="472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2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Holding company (separate)</w:t>
            </w:r>
          </w:p>
        </w:tc>
        <w:tc>
          <w:tcPr>
            <w:tcW w:w="1901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3,081</w:t>
            </w:r>
          </w:p>
        </w:tc>
        <w:tc>
          <w:tcPr>
            <w:tcW w:w="1891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1,737</w:t>
            </w:r>
          </w:p>
        </w:tc>
        <w:tc>
          <w:tcPr>
            <w:tcW w:w="1900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56%</w:t>
            </w:r>
          </w:p>
        </w:tc>
      </w:tr>
      <w:tr w:rsidR="002F689A" w:rsidTr="002F689A">
        <w:tc>
          <w:tcPr>
            <w:tcW w:w="472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2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Holding company (consolidated)</w:t>
            </w:r>
          </w:p>
        </w:tc>
        <w:tc>
          <w:tcPr>
            <w:tcW w:w="1901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3,853</w:t>
            </w:r>
          </w:p>
        </w:tc>
        <w:tc>
          <w:tcPr>
            <w:tcW w:w="1891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5,822</w:t>
            </w:r>
          </w:p>
        </w:tc>
        <w:tc>
          <w:tcPr>
            <w:tcW w:w="1900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151%</w:t>
            </w:r>
          </w:p>
        </w:tc>
      </w:tr>
      <w:tr w:rsidR="002F689A" w:rsidTr="002F689A">
        <w:tc>
          <w:tcPr>
            <w:tcW w:w="472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412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901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2F689A" w:rsidRDefault="002F689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89A" w:rsidTr="002F689A">
        <w:tc>
          <w:tcPr>
            <w:tcW w:w="472" w:type="dxa"/>
          </w:tcPr>
          <w:p w:rsidR="002F689A" w:rsidRDefault="002F689A" w:rsidP="002F68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2" w:type="dxa"/>
          </w:tcPr>
          <w:p w:rsidR="002F689A" w:rsidRDefault="002F689A" w:rsidP="002F68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Holding company (separate)</w:t>
            </w:r>
          </w:p>
        </w:tc>
        <w:tc>
          <w:tcPr>
            <w:tcW w:w="1901" w:type="dxa"/>
          </w:tcPr>
          <w:p w:rsidR="002F689A" w:rsidRDefault="002F689A" w:rsidP="002F68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91" w:type="dxa"/>
          </w:tcPr>
          <w:p w:rsidR="002F689A" w:rsidRDefault="002F689A" w:rsidP="002F68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00" w:type="dxa"/>
          </w:tcPr>
          <w:p w:rsidR="002F689A" w:rsidRDefault="002F689A" w:rsidP="002F68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</w:tr>
      <w:tr w:rsidR="002F689A" w:rsidTr="002F689A">
        <w:tc>
          <w:tcPr>
            <w:tcW w:w="472" w:type="dxa"/>
          </w:tcPr>
          <w:p w:rsidR="002F689A" w:rsidRDefault="002F689A" w:rsidP="002F68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2" w:type="dxa"/>
          </w:tcPr>
          <w:p w:rsidR="002F689A" w:rsidRDefault="002F689A" w:rsidP="002F68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Holding company (consolidated)</w:t>
            </w:r>
          </w:p>
        </w:tc>
        <w:tc>
          <w:tcPr>
            <w:tcW w:w="1901" w:type="dxa"/>
          </w:tcPr>
          <w:p w:rsidR="002F689A" w:rsidRDefault="002F689A" w:rsidP="002F68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891" w:type="dxa"/>
          </w:tcPr>
          <w:p w:rsidR="002F689A" w:rsidRDefault="002F689A" w:rsidP="002F68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900" w:type="dxa"/>
          </w:tcPr>
          <w:p w:rsidR="002F689A" w:rsidRDefault="002F689A" w:rsidP="002F68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211%</w:t>
            </w:r>
          </w:p>
        </w:tc>
      </w:tr>
    </w:tbl>
    <w:p w:rsidR="002F689A" w:rsidRDefault="002F689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689A" w:rsidRDefault="002F689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689A">
        <w:rPr>
          <w:rFonts w:ascii="Arial" w:hAnsi="Arial" w:cs="Arial"/>
          <w:sz w:val="20"/>
          <w:szCs w:val="20"/>
        </w:rPr>
        <w:t xml:space="preserve">Article 3: Approve the Supervisory Board's Report of </w:t>
      </w:r>
      <w:r>
        <w:rPr>
          <w:rFonts w:ascii="Arial" w:hAnsi="Arial" w:cs="Arial"/>
          <w:sz w:val="20"/>
          <w:szCs w:val="20"/>
        </w:rPr>
        <w:t>2019 and the work plan for 2020</w:t>
      </w:r>
    </w:p>
    <w:p w:rsidR="002F689A" w:rsidRDefault="002F689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689A">
        <w:rPr>
          <w:rFonts w:ascii="Arial" w:hAnsi="Arial" w:cs="Arial"/>
          <w:sz w:val="20"/>
          <w:szCs w:val="20"/>
        </w:rPr>
        <w:t xml:space="preserve">Article 4: Approve </w:t>
      </w:r>
      <w:r>
        <w:rPr>
          <w:rFonts w:ascii="Arial" w:hAnsi="Arial" w:cs="Arial"/>
          <w:sz w:val="20"/>
          <w:szCs w:val="20"/>
        </w:rPr>
        <w:t xml:space="preserve">the audited financial statement of 2019  </w:t>
      </w:r>
    </w:p>
    <w:p w:rsidR="002F689A" w:rsidRDefault="002F689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689A">
        <w:rPr>
          <w:rFonts w:ascii="Arial" w:hAnsi="Arial" w:cs="Arial"/>
          <w:sz w:val="20"/>
          <w:szCs w:val="20"/>
        </w:rPr>
        <w:t xml:space="preserve">Article 5: Approve the authorization for the Board of Directors of the </w:t>
      </w:r>
      <w:r>
        <w:rPr>
          <w:rFonts w:ascii="Arial" w:hAnsi="Arial" w:cs="Arial"/>
          <w:sz w:val="20"/>
          <w:szCs w:val="20"/>
        </w:rPr>
        <w:t>Corporation to decide</w:t>
      </w:r>
      <w:r w:rsidRPr="002F689A">
        <w:rPr>
          <w:rFonts w:ascii="Arial" w:hAnsi="Arial" w:cs="Arial"/>
          <w:sz w:val="20"/>
          <w:szCs w:val="20"/>
        </w:rPr>
        <w:t xml:space="preserve"> the distribution of profit</w:t>
      </w:r>
      <w:r>
        <w:rPr>
          <w:rFonts w:ascii="Arial" w:hAnsi="Arial" w:cs="Arial"/>
          <w:sz w:val="20"/>
          <w:szCs w:val="20"/>
        </w:rPr>
        <w:t>, dividend</w:t>
      </w:r>
      <w:r w:rsidRPr="002F689A">
        <w:rPr>
          <w:rFonts w:ascii="Arial" w:hAnsi="Arial" w:cs="Arial"/>
          <w:sz w:val="20"/>
          <w:szCs w:val="20"/>
        </w:rPr>
        <w:t xml:space="preserve">, and </w:t>
      </w:r>
      <w:r>
        <w:rPr>
          <w:rFonts w:ascii="Arial" w:hAnsi="Arial" w:cs="Arial"/>
          <w:sz w:val="20"/>
          <w:szCs w:val="20"/>
        </w:rPr>
        <w:t>extraction to funds for</w:t>
      </w:r>
      <w:r w:rsidRPr="002F689A">
        <w:rPr>
          <w:rFonts w:ascii="Arial" w:hAnsi="Arial" w:cs="Arial"/>
          <w:sz w:val="20"/>
          <w:szCs w:val="20"/>
        </w:rPr>
        <w:t xml:space="preserve"> 2019 after the official opinion </w:t>
      </w:r>
      <w:r>
        <w:rPr>
          <w:rFonts w:ascii="Arial" w:hAnsi="Arial" w:cs="Arial"/>
          <w:sz w:val="20"/>
          <w:szCs w:val="20"/>
        </w:rPr>
        <w:t>of the Ministry of Construction</w:t>
      </w:r>
    </w:p>
    <w:p w:rsidR="002F689A" w:rsidRDefault="002F689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689A">
        <w:rPr>
          <w:rFonts w:ascii="Arial" w:hAnsi="Arial" w:cs="Arial"/>
          <w:sz w:val="20"/>
          <w:szCs w:val="20"/>
        </w:rPr>
        <w:t xml:space="preserve">Article 6: Approve the </w:t>
      </w:r>
      <w:r>
        <w:rPr>
          <w:rFonts w:ascii="Arial" w:hAnsi="Arial" w:cs="Arial"/>
          <w:sz w:val="20"/>
          <w:szCs w:val="20"/>
        </w:rPr>
        <w:t>plan on</w:t>
      </w:r>
      <w:r w:rsidRPr="002F689A">
        <w:rPr>
          <w:rFonts w:ascii="Arial" w:hAnsi="Arial" w:cs="Arial"/>
          <w:sz w:val="20"/>
          <w:szCs w:val="20"/>
        </w:rPr>
        <w:t xml:space="preserve"> remuneration</w:t>
      </w:r>
      <w:r>
        <w:rPr>
          <w:rFonts w:ascii="Arial" w:hAnsi="Arial" w:cs="Arial"/>
          <w:sz w:val="20"/>
          <w:szCs w:val="20"/>
        </w:rPr>
        <w:t xml:space="preserve"> payment to</w:t>
      </w:r>
      <w:r w:rsidRPr="002F689A">
        <w:rPr>
          <w:rFonts w:ascii="Arial" w:hAnsi="Arial" w:cs="Arial"/>
          <w:sz w:val="20"/>
          <w:szCs w:val="20"/>
        </w:rPr>
        <w:t xml:space="preserve"> the Board of Directors, the Supervisory Board in 2019 and the remuneration plan for the Board of Directors and the Supervisory Board in 2020 </w:t>
      </w:r>
    </w:p>
    <w:p w:rsidR="002F689A" w:rsidRDefault="002F689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689A">
        <w:rPr>
          <w:rFonts w:ascii="Arial" w:hAnsi="Arial" w:cs="Arial"/>
          <w:sz w:val="20"/>
          <w:szCs w:val="20"/>
        </w:rPr>
        <w:t xml:space="preserve">Article 7: Approving the authorization for the Board of Directors </w:t>
      </w:r>
      <w:r>
        <w:rPr>
          <w:rFonts w:ascii="Arial" w:hAnsi="Arial" w:cs="Arial"/>
          <w:sz w:val="20"/>
          <w:szCs w:val="20"/>
        </w:rPr>
        <w:t>of the Corporation to select an</w:t>
      </w:r>
      <w:r w:rsidRPr="002F689A">
        <w:rPr>
          <w:rFonts w:ascii="Arial" w:hAnsi="Arial" w:cs="Arial"/>
          <w:sz w:val="20"/>
          <w:szCs w:val="20"/>
        </w:rPr>
        <w:t xml:space="preserve"> auditing units </w:t>
      </w:r>
      <w:r>
        <w:rPr>
          <w:rFonts w:ascii="Arial" w:hAnsi="Arial" w:cs="Arial"/>
          <w:sz w:val="20"/>
          <w:szCs w:val="20"/>
        </w:rPr>
        <w:t>for financial statement of</w:t>
      </w:r>
      <w:r w:rsidRPr="002F689A">
        <w:rPr>
          <w:rFonts w:ascii="Arial" w:hAnsi="Arial" w:cs="Arial"/>
          <w:sz w:val="20"/>
          <w:szCs w:val="20"/>
        </w:rPr>
        <w:t xml:space="preserve"> 2020 with a number of criteria for selecting audit units as follows: </w:t>
      </w:r>
    </w:p>
    <w:p w:rsidR="002F689A" w:rsidRDefault="002F689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689A">
        <w:rPr>
          <w:rFonts w:ascii="Arial" w:hAnsi="Arial" w:cs="Arial"/>
          <w:sz w:val="20"/>
          <w:szCs w:val="20"/>
        </w:rPr>
        <w:t xml:space="preserve">1. Being units </w:t>
      </w:r>
      <w:r>
        <w:rPr>
          <w:rFonts w:ascii="Arial" w:hAnsi="Arial" w:cs="Arial"/>
          <w:sz w:val="20"/>
          <w:szCs w:val="20"/>
        </w:rPr>
        <w:t>approved</w:t>
      </w:r>
      <w:r w:rsidRPr="002F689A">
        <w:rPr>
          <w:rFonts w:ascii="Arial" w:hAnsi="Arial" w:cs="Arial"/>
          <w:sz w:val="20"/>
          <w:szCs w:val="20"/>
        </w:rPr>
        <w:t xml:space="preserve"> by the Ministry of Fina</w:t>
      </w:r>
      <w:r>
        <w:rPr>
          <w:rFonts w:ascii="Arial" w:hAnsi="Arial" w:cs="Arial"/>
          <w:sz w:val="20"/>
          <w:szCs w:val="20"/>
        </w:rPr>
        <w:t>nce, t</w:t>
      </w:r>
      <w:r w:rsidRPr="002F689A">
        <w:rPr>
          <w:rFonts w:ascii="Arial" w:hAnsi="Arial" w:cs="Arial"/>
          <w:sz w:val="20"/>
          <w:szCs w:val="20"/>
        </w:rPr>
        <w:t xml:space="preserve">he State Securities Commission </w:t>
      </w:r>
      <w:r>
        <w:rPr>
          <w:rFonts w:ascii="Arial" w:hAnsi="Arial" w:cs="Arial"/>
          <w:sz w:val="20"/>
          <w:szCs w:val="20"/>
        </w:rPr>
        <w:t>to audit</w:t>
      </w:r>
      <w:r w:rsidRPr="002F689A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the</w:t>
      </w:r>
      <w:r w:rsidRPr="002F689A">
        <w:rPr>
          <w:rFonts w:ascii="Arial" w:hAnsi="Arial" w:cs="Arial"/>
          <w:sz w:val="20"/>
          <w:szCs w:val="20"/>
        </w:rPr>
        <w:t xml:space="preserve"> issuers and listing organizations for sec</w:t>
      </w:r>
      <w:r>
        <w:rPr>
          <w:rFonts w:ascii="Arial" w:hAnsi="Arial" w:cs="Arial"/>
          <w:sz w:val="20"/>
          <w:szCs w:val="20"/>
        </w:rPr>
        <w:t>urities business organizations</w:t>
      </w:r>
    </w:p>
    <w:p w:rsidR="002F689A" w:rsidRDefault="002F689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689A">
        <w:rPr>
          <w:rFonts w:ascii="Arial" w:hAnsi="Arial" w:cs="Arial"/>
          <w:sz w:val="20"/>
          <w:szCs w:val="20"/>
        </w:rPr>
        <w:t>2. Being a reputable and experienced unit in the field of auditing and providing financial consultancy to enterprises engaged in the production and trading of construction materials, real e</w:t>
      </w:r>
      <w:r>
        <w:rPr>
          <w:rFonts w:ascii="Arial" w:hAnsi="Arial" w:cs="Arial"/>
          <w:sz w:val="20"/>
          <w:szCs w:val="20"/>
        </w:rPr>
        <w:t>state and mineral exploitation</w:t>
      </w:r>
    </w:p>
    <w:p w:rsidR="002F689A" w:rsidRDefault="002F689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689A">
        <w:rPr>
          <w:rFonts w:ascii="Arial" w:hAnsi="Arial" w:cs="Arial"/>
          <w:sz w:val="20"/>
          <w:szCs w:val="20"/>
        </w:rPr>
        <w:t>3. Reasonable, economical audit costs, suitable to the content, scope and progress of auditing at</w:t>
      </w:r>
      <w:r>
        <w:rPr>
          <w:rFonts w:ascii="Arial" w:hAnsi="Arial" w:cs="Arial"/>
          <w:sz w:val="20"/>
          <w:szCs w:val="20"/>
        </w:rPr>
        <w:t xml:space="preserve"> the request of the Corporation</w:t>
      </w:r>
    </w:p>
    <w:p w:rsidR="00B70948" w:rsidRDefault="002F689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689A">
        <w:rPr>
          <w:rFonts w:ascii="Arial" w:hAnsi="Arial" w:cs="Arial"/>
          <w:sz w:val="20"/>
          <w:szCs w:val="20"/>
        </w:rPr>
        <w:lastRenderedPageBreak/>
        <w:t>Article 8: Approving the app</w:t>
      </w:r>
      <w:r>
        <w:rPr>
          <w:rFonts w:ascii="Arial" w:hAnsi="Arial" w:cs="Arial"/>
          <w:sz w:val="20"/>
          <w:szCs w:val="20"/>
        </w:rPr>
        <w:t xml:space="preserve">ointment of Mr. Vo Thanh </w:t>
      </w:r>
      <w:proofErr w:type="spellStart"/>
      <w:r>
        <w:rPr>
          <w:rFonts w:ascii="Arial" w:hAnsi="Arial" w:cs="Arial"/>
          <w:sz w:val="20"/>
          <w:szCs w:val="20"/>
        </w:rPr>
        <w:t>Nhan</w:t>
      </w:r>
      <w:proofErr w:type="spellEnd"/>
      <w:r>
        <w:rPr>
          <w:rFonts w:ascii="Arial" w:hAnsi="Arial" w:cs="Arial"/>
          <w:sz w:val="20"/>
          <w:szCs w:val="20"/>
        </w:rPr>
        <w:t xml:space="preserve"> to position of</w:t>
      </w:r>
      <w:r w:rsidRPr="002F689A">
        <w:rPr>
          <w:rFonts w:ascii="Arial" w:hAnsi="Arial" w:cs="Arial"/>
          <w:sz w:val="20"/>
          <w:szCs w:val="20"/>
        </w:rPr>
        <w:t xml:space="preserve"> member of the Board of Directors of </w:t>
      </w:r>
      <w:r w:rsidR="00B70948" w:rsidRPr="00B70948">
        <w:rPr>
          <w:rFonts w:ascii="Arial" w:hAnsi="Arial" w:cs="Arial"/>
          <w:sz w:val="20"/>
          <w:szCs w:val="20"/>
        </w:rPr>
        <w:t xml:space="preserve">Fico Corporation </w:t>
      </w:r>
      <w:r w:rsidR="00B70948">
        <w:rPr>
          <w:rFonts w:ascii="Arial" w:hAnsi="Arial" w:cs="Arial"/>
          <w:sz w:val="20"/>
          <w:szCs w:val="20"/>
        </w:rPr>
        <w:t>–</w:t>
      </w:r>
      <w:r w:rsidR="00B70948" w:rsidRPr="00B70948">
        <w:rPr>
          <w:rFonts w:ascii="Arial" w:hAnsi="Arial" w:cs="Arial"/>
          <w:sz w:val="20"/>
          <w:szCs w:val="20"/>
        </w:rPr>
        <w:t xml:space="preserve"> JSC</w:t>
      </w:r>
      <w:r w:rsidR="00B70948">
        <w:rPr>
          <w:rFonts w:ascii="Arial" w:hAnsi="Arial" w:cs="Arial"/>
          <w:sz w:val="20"/>
          <w:szCs w:val="20"/>
        </w:rPr>
        <w:t xml:space="preserve"> for the term of 2016-2021</w:t>
      </w:r>
    </w:p>
    <w:p w:rsidR="00B70948" w:rsidRDefault="002F689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689A">
        <w:rPr>
          <w:rFonts w:ascii="Arial" w:hAnsi="Arial" w:cs="Arial"/>
          <w:sz w:val="20"/>
          <w:szCs w:val="20"/>
        </w:rPr>
        <w:t xml:space="preserve">Article 9: Implementing provisions  </w:t>
      </w:r>
    </w:p>
    <w:p w:rsidR="00B70948" w:rsidRDefault="002F689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689A">
        <w:rPr>
          <w:rFonts w:ascii="Arial" w:hAnsi="Arial" w:cs="Arial"/>
          <w:sz w:val="20"/>
          <w:szCs w:val="20"/>
        </w:rPr>
        <w:t xml:space="preserve">1. This </w:t>
      </w:r>
      <w:r w:rsidR="00B70948">
        <w:rPr>
          <w:rFonts w:ascii="Arial" w:hAnsi="Arial" w:cs="Arial"/>
          <w:sz w:val="20"/>
          <w:szCs w:val="20"/>
        </w:rPr>
        <w:t>annual General Mandate</w:t>
      </w:r>
      <w:r w:rsidRPr="002F689A">
        <w:rPr>
          <w:rFonts w:ascii="Arial" w:hAnsi="Arial" w:cs="Arial"/>
          <w:sz w:val="20"/>
          <w:szCs w:val="20"/>
        </w:rPr>
        <w:t xml:space="preserve"> ta</w:t>
      </w:r>
      <w:r w:rsidR="00B70948">
        <w:rPr>
          <w:rFonts w:ascii="Arial" w:hAnsi="Arial" w:cs="Arial"/>
          <w:sz w:val="20"/>
          <w:szCs w:val="20"/>
        </w:rPr>
        <w:t>kes effect from June 29, 2020</w:t>
      </w:r>
    </w:p>
    <w:p w:rsidR="00B70948" w:rsidRDefault="002F689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689A">
        <w:rPr>
          <w:rFonts w:ascii="Arial" w:hAnsi="Arial" w:cs="Arial"/>
          <w:sz w:val="20"/>
          <w:szCs w:val="20"/>
        </w:rPr>
        <w:t xml:space="preserve">2. The Board of Directors, the </w:t>
      </w:r>
      <w:r w:rsidR="00B70948">
        <w:rPr>
          <w:rFonts w:ascii="Arial" w:hAnsi="Arial" w:cs="Arial"/>
          <w:sz w:val="20"/>
          <w:szCs w:val="20"/>
        </w:rPr>
        <w:t>Management Board</w:t>
      </w:r>
      <w:r w:rsidRPr="002F689A">
        <w:rPr>
          <w:rFonts w:ascii="Arial" w:hAnsi="Arial" w:cs="Arial"/>
          <w:sz w:val="20"/>
          <w:szCs w:val="20"/>
        </w:rPr>
        <w:t xml:space="preserve"> and the Supervisory Board are responsible for organizing the implementation of the contents approved by the Meeting in this </w:t>
      </w:r>
      <w:r w:rsidR="00B70948">
        <w:rPr>
          <w:rFonts w:ascii="Arial" w:hAnsi="Arial" w:cs="Arial"/>
          <w:sz w:val="20"/>
          <w:szCs w:val="20"/>
        </w:rPr>
        <w:t xml:space="preserve">General Mandate </w:t>
      </w:r>
    </w:p>
    <w:p w:rsidR="002F689A" w:rsidRDefault="002F689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689A">
        <w:rPr>
          <w:rFonts w:ascii="Arial" w:hAnsi="Arial" w:cs="Arial"/>
          <w:sz w:val="20"/>
          <w:szCs w:val="20"/>
        </w:rPr>
        <w:t xml:space="preserve">3. This </w:t>
      </w:r>
      <w:r w:rsidR="00B70948">
        <w:rPr>
          <w:rFonts w:ascii="Arial" w:hAnsi="Arial" w:cs="Arial"/>
          <w:sz w:val="20"/>
          <w:szCs w:val="20"/>
        </w:rPr>
        <w:t>annual General Mandate</w:t>
      </w:r>
      <w:r w:rsidRPr="002F689A">
        <w:rPr>
          <w:rFonts w:ascii="Arial" w:hAnsi="Arial" w:cs="Arial"/>
          <w:sz w:val="20"/>
          <w:szCs w:val="20"/>
        </w:rPr>
        <w:t xml:space="preserve"> was passed </w:t>
      </w:r>
      <w:r w:rsidR="00B70948">
        <w:rPr>
          <w:rFonts w:ascii="Arial" w:hAnsi="Arial" w:cs="Arial"/>
          <w:sz w:val="20"/>
          <w:szCs w:val="20"/>
        </w:rPr>
        <w:t>at the</w:t>
      </w:r>
      <w:r w:rsidRPr="002F689A">
        <w:rPr>
          <w:rFonts w:ascii="Arial" w:hAnsi="Arial" w:cs="Arial"/>
          <w:sz w:val="20"/>
          <w:szCs w:val="20"/>
        </w:rPr>
        <w:t xml:space="preserve"> Annual General Meeting of Shareholders</w:t>
      </w:r>
      <w:r w:rsidR="00B70948">
        <w:rPr>
          <w:rFonts w:ascii="Arial" w:hAnsi="Arial" w:cs="Arial"/>
          <w:sz w:val="20"/>
          <w:szCs w:val="20"/>
        </w:rPr>
        <w:t xml:space="preserve"> of 2020</w:t>
      </w:r>
      <w:r w:rsidRPr="002F689A">
        <w:rPr>
          <w:rFonts w:ascii="Arial" w:hAnsi="Arial" w:cs="Arial"/>
          <w:sz w:val="20"/>
          <w:szCs w:val="20"/>
        </w:rPr>
        <w:t xml:space="preserve"> on June 29, 2020 and approved by the </w:t>
      </w:r>
      <w:r w:rsidR="00B70948">
        <w:rPr>
          <w:rFonts w:ascii="Arial" w:hAnsi="Arial" w:cs="Arial"/>
          <w:sz w:val="20"/>
          <w:szCs w:val="20"/>
        </w:rPr>
        <w:t>annual General Meeting of Shareholders with a voting rate of 100%</w:t>
      </w:r>
      <w:r w:rsidR="00FD45A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B70948">
        <w:rPr>
          <w:rFonts w:ascii="Arial" w:hAnsi="Arial" w:cs="Arial"/>
          <w:sz w:val="20"/>
          <w:szCs w:val="20"/>
        </w:rPr>
        <w:t xml:space="preserve"> </w:t>
      </w:r>
    </w:p>
    <w:sectPr w:rsidR="002F6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469B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7024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6E5"/>
    <w:rsid w:val="002E7FD0"/>
    <w:rsid w:val="002F689A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3F38AB"/>
    <w:rsid w:val="00403A9C"/>
    <w:rsid w:val="004115D9"/>
    <w:rsid w:val="00411E47"/>
    <w:rsid w:val="00420169"/>
    <w:rsid w:val="0042783A"/>
    <w:rsid w:val="0043345C"/>
    <w:rsid w:val="00433E4F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3F"/>
    <w:rsid w:val="004B4798"/>
    <w:rsid w:val="004C144F"/>
    <w:rsid w:val="004E4C16"/>
    <w:rsid w:val="004F3452"/>
    <w:rsid w:val="00503DD6"/>
    <w:rsid w:val="00505065"/>
    <w:rsid w:val="0052379D"/>
    <w:rsid w:val="0053093D"/>
    <w:rsid w:val="00534C35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04110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27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28CB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6ABF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948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7B4"/>
    <w:rsid w:val="00BB2980"/>
    <w:rsid w:val="00BD3CCA"/>
    <w:rsid w:val="00BD6969"/>
    <w:rsid w:val="00BE3B72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0AB7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2295D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13AB"/>
    <w:rsid w:val="00E35884"/>
    <w:rsid w:val="00E43201"/>
    <w:rsid w:val="00E44453"/>
    <w:rsid w:val="00E47B26"/>
    <w:rsid w:val="00E51F4E"/>
    <w:rsid w:val="00E53A5C"/>
    <w:rsid w:val="00E5565D"/>
    <w:rsid w:val="00E65132"/>
    <w:rsid w:val="00E7691C"/>
    <w:rsid w:val="00E940FA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45A7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7B3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322</cp:revision>
  <dcterms:created xsi:type="dcterms:W3CDTF">2019-10-16T10:03:00Z</dcterms:created>
  <dcterms:modified xsi:type="dcterms:W3CDTF">2020-07-03T06:56:00Z</dcterms:modified>
</cp:coreProperties>
</file>